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16" w:rsidRDefault="00E11BEC" w:rsidP="00E11BE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4357E1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 w:rsidR="004357E1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4357E1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</w:t>
      </w:r>
    </w:p>
    <w:p w:rsidR="004357E1" w:rsidRDefault="004357E1" w:rsidP="00C04CB2">
      <w:pPr>
        <w:ind w:leftChars="3355" w:left="735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神奈川労働局</w:t>
      </w:r>
    </w:p>
    <w:p w:rsidR="00E11BEC" w:rsidRDefault="00E11BEC" w:rsidP="00E11BEC">
      <w:pPr>
        <w:jc w:val="right"/>
        <w:rPr>
          <w:sz w:val="24"/>
          <w:szCs w:val="24"/>
        </w:rPr>
      </w:pPr>
    </w:p>
    <w:p w:rsidR="00E11BEC" w:rsidRPr="00CB0803" w:rsidRDefault="004357E1" w:rsidP="00F87269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  <w:u w:val="double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  <w:u w:val="double"/>
        </w:rPr>
        <w:t>最低賃金の引き上げに向けた中小企業の支援策の拡充等</w:t>
      </w:r>
    </w:p>
    <w:p w:rsidR="00AB1803" w:rsidRDefault="00104A25" w:rsidP="00AB1803">
      <w:pPr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95CDB" wp14:editId="717C1094">
                <wp:simplePos x="0" y="0"/>
                <wp:positionH relativeFrom="column">
                  <wp:posOffset>-196215</wp:posOffset>
                </wp:positionH>
                <wp:positionV relativeFrom="paragraph">
                  <wp:posOffset>225425</wp:posOffset>
                </wp:positionV>
                <wp:extent cx="2200275" cy="3619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61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EB1" w:rsidRPr="00104A25" w:rsidRDefault="00167EB1" w:rsidP="009900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新たな神奈川県最低賃金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5.45pt;margin-top:17.75pt;width:173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" fillcolor="#9ab5e4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167EB1" w:rsidRPr="00104A25" w:rsidRDefault="00167EB1" w:rsidP="0099002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新たな神奈川県最低賃金</w:t>
                      </w:r>
                    </w:p>
                  </w:txbxContent>
                </v:textbox>
              </v:rect>
            </w:pict>
          </mc:Fallback>
        </mc:AlternateContent>
      </w:r>
    </w:p>
    <w:p w:rsidR="00AB1803" w:rsidRDefault="00E00F68" w:rsidP="00AB1803">
      <w:pPr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98105" wp14:editId="27079C59">
                <wp:simplePos x="0" y="0"/>
                <wp:positionH relativeFrom="column">
                  <wp:posOffset>-15240</wp:posOffset>
                </wp:positionH>
                <wp:positionV relativeFrom="paragraph">
                  <wp:posOffset>181610</wp:posOffset>
                </wp:positionV>
                <wp:extent cx="6086475" cy="1104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104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67EB1" w:rsidRPr="00296D34" w:rsidRDefault="00167EB1" w:rsidP="0099002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7EB1" w:rsidRPr="00313CA3" w:rsidRDefault="00167EB1" w:rsidP="003C512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 xml:space="preserve">○　</w:t>
                            </w: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神奈川県最低賃金は、現行の</w:t>
                            </w: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905</w:t>
                            </w: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円から</w:t>
                            </w: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25</w:t>
                            </w: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円引き上げられ</w:t>
                            </w: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930</w:t>
                            </w: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円に。</w:t>
                            </w:r>
                          </w:p>
                          <w:p w:rsidR="00167EB1" w:rsidRPr="00313CA3" w:rsidRDefault="00167EB1" w:rsidP="003C5122">
                            <w:pPr>
                              <w:rPr>
                                <w:sz w:val="22"/>
                              </w:rPr>
                            </w:pP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 xml:space="preserve">　○　発効日は</w:t>
                            </w: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日の予定（</w:t>
                            </w: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9</w:t>
                            </w: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日の官報公示により確定）。</w:t>
                            </w:r>
                          </w:p>
                          <w:p w:rsidR="00167EB1" w:rsidRPr="00C04CB2" w:rsidRDefault="00167EB1" w:rsidP="004357E1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Pr="00C04CB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※　問い合わせ先　労働基準部賃金室（℡：211－7354）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.2pt;margin-top:14.3pt;width:479.2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" filled="f" strokecolor="windowText" strokeweight="1.5pt">
                <v:textbox>
                  <w:txbxContent>
                    <w:p w:rsidR="00167EB1" w:rsidRPr="00296D34" w:rsidRDefault="00167EB1" w:rsidP="0099002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7EB1" w:rsidRPr="00313CA3" w:rsidRDefault="00167EB1" w:rsidP="003C5122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13CA3">
                        <w:rPr>
                          <w:rFonts w:hint="eastAsia"/>
                          <w:sz w:val="22"/>
                        </w:rPr>
                        <w:t>○　神奈川県最低賃金は、現行の</w:t>
                      </w:r>
                      <w:r w:rsidRPr="00313CA3">
                        <w:rPr>
                          <w:rFonts w:hint="eastAsia"/>
                          <w:sz w:val="22"/>
                        </w:rPr>
                        <w:t>905</w:t>
                      </w:r>
                      <w:r w:rsidRPr="00313CA3">
                        <w:rPr>
                          <w:rFonts w:hint="eastAsia"/>
                          <w:sz w:val="22"/>
                        </w:rPr>
                        <w:t>円から</w:t>
                      </w:r>
                      <w:r w:rsidRPr="00313CA3">
                        <w:rPr>
                          <w:rFonts w:hint="eastAsia"/>
                          <w:sz w:val="22"/>
                        </w:rPr>
                        <w:t>25</w:t>
                      </w:r>
                      <w:r w:rsidRPr="00313CA3">
                        <w:rPr>
                          <w:rFonts w:hint="eastAsia"/>
                          <w:sz w:val="22"/>
                        </w:rPr>
                        <w:t>円引き上げられ</w:t>
                      </w:r>
                      <w:r w:rsidRPr="00313CA3">
                        <w:rPr>
                          <w:rFonts w:hint="eastAsia"/>
                          <w:sz w:val="22"/>
                        </w:rPr>
                        <w:t>930</w:t>
                      </w:r>
                      <w:r w:rsidRPr="00313CA3">
                        <w:rPr>
                          <w:rFonts w:hint="eastAsia"/>
                          <w:sz w:val="22"/>
                        </w:rPr>
                        <w:t>円に。</w:t>
                      </w:r>
                    </w:p>
                    <w:p w:rsidR="00167EB1" w:rsidRPr="00313CA3" w:rsidRDefault="00167EB1" w:rsidP="003C5122">
                      <w:pPr>
                        <w:rPr>
                          <w:rFonts w:hint="eastAsia"/>
                          <w:sz w:val="22"/>
                        </w:rPr>
                      </w:pPr>
                      <w:r w:rsidRPr="00313CA3">
                        <w:rPr>
                          <w:rFonts w:hint="eastAsia"/>
                          <w:sz w:val="22"/>
                        </w:rPr>
                        <w:t xml:space="preserve">　○　発効日は</w:t>
                      </w:r>
                      <w:r w:rsidRPr="00313CA3">
                        <w:rPr>
                          <w:rFonts w:hint="eastAsia"/>
                          <w:sz w:val="22"/>
                        </w:rPr>
                        <w:t>10</w:t>
                      </w:r>
                      <w:r w:rsidRPr="00313CA3">
                        <w:rPr>
                          <w:rFonts w:hint="eastAsia"/>
                          <w:sz w:val="22"/>
                        </w:rPr>
                        <w:t>月</w:t>
                      </w:r>
                      <w:r w:rsidRPr="00313CA3">
                        <w:rPr>
                          <w:rFonts w:hint="eastAsia"/>
                          <w:sz w:val="22"/>
                        </w:rPr>
                        <w:t>1</w:t>
                      </w:r>
                      <w:r w:rsidRPr="00313CA3">
                        <w:rPr>
                          <w:rFonts w:hint="eastAsia"/>
                          <w:sz w:val="22"/>
                        </w:rPr>
                        <w:t>日の予定（</w:t>
                      </w:r>
                      <w:r w:rsidRPr="00313CA3">
                        <w:rPr>
                          <w:rFonts w:hint="eastAsia"/>
                          <w:sz w:val="22"/>
                        </w:rPr>
                        <w:t>9</w:t>
                      </w:r>
                      <w:r w:rsidRPr="00313CA3">
                        <w:rPr>
                          <w:rFonts w:hint="eastAsia"/>
                          <w:sz w:val="22"/>
                        </w:rPr>
                        <w:t>月</w:t>
                      </w:r>
                      <w:r w:rsidRPr="00313CA3">
                        <w:rPr>
                          <w:rFonts w:hint="eastAsia"/>
                          <w:sz w:val="22"/>
                        </w:rPr>
                        <w:t>1</w:t>
                      </w:r>
                      <w:r w:rsidRPr="00313CA3">
                        <w:rPr>
                          <w:rFonts w:hint="eastAsia"/>
                          <w:sz w:val="22"/>
                        </w:rPr>
                        <w:t>日の官報公示により確定）。</w:t>
                      </w:r>
                    </w:p>
                    <w:p w:rsidR="00167EB1" w:rsidRPr="00C04CB2" w:rsidRDefault="00167EB1" w:rsidP="004357E1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Pr="00C04CB2">
                        <w:rPr>
                          <w:rFonts w:asciiTheme="minorEastAsia" w:hAnsiTheme="minorEastAsia" w:hint="eastAsia"/>
                          <w:sz w:val="22"/>
                        </w:rPr>
                        <w:t>※　問い合わせ先　労働基準部賃金室（℡：211－7354）</w:t>
                      </w:r>
                    </w:p>
                  </w:txbxContent>
                </v:textbox>
              </v:shape>
            </w:pict>
          </mc:Fallback>
        </mc:AlternateContent>
      </w:r>
    </w:p>
    <w:p w:rsidR="00AB1803" w:rsidRDefault="00AB1803" w:rsidP="00AB1803">
      <w:pPr>
        <w:jc w:val="center"/>
        <w:rPr>
          <w:b/>
          <w:kern w:val="0"/>
          <w:sz w:val="24"/>
          <w:szCs w:val="24"/>
        </w:rPr>
      </w:pPr>
    </w:p>
    <w:p w:rsidR="00AB1803" w:rsidRDefault="00AB1803" w:rsidP="00AB1803">
      <w:pPr>
        <w:jc w:val="center"/>
        <w:rPr>
          <w:b/>
          <w:kern w:val="0"/>
          <w:sz w:val="24"/>
          <w:szCs w:val="24"/>
        </w:rPr>
      </w:pPr>
    </w:p>
    <w:p w:rsidR="00AB1803" w:rsidRDefault="00AB1803" w:rsidP="00AB1803">
      <w:pPr>
        <w:jc w:val="center"/>
        <w:rPr>
          <w:b/>
          <w:kern w:val="0"/>
          <w:sz w:val="24"/>
          <w:szCs w:val="24"/>
        </w:rPr>
      </w:pPr>
    </w:p>
    <w:p w:rsidR="00AB1803" w:rsidRDefault="00AB1803" w:rsidP="00AB1803">
      <w:pPr>
        <w:jc w:val="center"/>
        <w:rPr>
          <w:b/>
          <w:kern w:val="0"/>
          <w:sz w:val="24"/>
          <w:szCs w:val="24"/>
        </w:rPr>
      </w:pPr>
    </w:p>
    <w:p w:rsidR="0099002F" w:rsidRPr="00AB1803" w:rsidRDefault="0099002F" w:rsidP="00E00F68">
      <w:pPr>
        <w:rPr>
          <w:b/>
          <w:kern w:val="0"/>
          <w:sz w:val="24"/>
          <w:szCs w:val="24"/>
        </w:rPr>
      </w:pPr>
    </w:p>
    <w:p w:rsidR="000567E9" w:rsidRDefault="00A45F3B" w:rsidP="00A45F3B">
      <w:pPr>
        <w:jc w:val="left"/>
        <w:rPr>
          <w:b/>
          <w:sz w:val="40"/>
          <w:szCs w:val="40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A4BAA" wp14:editId="4275948C">
                <wp:simplePos x="0" y="0"/>
                <wp:positionH relativeFrom="column">
                  <wp:posOffset>-14034</wp:posOffset>
                </wp:positionH>
                <wp:positionV relativeFrom="paragraph">
                  <wp:posOffset>145214</wp:posOffset>
                </wp:positionV>
                <wp:extent cx="6086475" cy="6632294"/>
                <wp:effectExtent l="0" t="0" r="2857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63229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EB1" w:rsidRPr="00296D34" w:rsidRDefault="00167EB1" w:rsidP="00296D3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7EB1" w:rsidRPr="00F4171B" w:rsidRDefault="00167EB1" w:rsidP="004357E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17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Ⅰ　業務改善助成金（神奈川県には初の適用）</w:t>
                            </w:r>
                          </w:p>
                          <w:p w:rsidR="00167EB1" w:rsidRPr="00313CA3" w:rsidRDefault="00167EB1" w:rsidP="004357E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生産性向上のための設備投資（機械設備、ＰＯＳシステム等の導入）などを行い、事業場内最低賃金を一定額以上引き上げた場合、その費用の一部を助成</w:t>
                            </w:r>
                          </w:p>
                          <w:p w:rsidR="00167EB1" w:rsidRPr="00313CA3" w:rsidRDefault="00167EB1" w:rsidP="00F4171B">
                            <w:pPr>
                              <w:pStyle w:val="aa"/>
                              <w:ind w:leftChars="0" w:left="615"/>
                              <w:rPr>
                                <w:sz w:val="22"/>
                              </w:rPr>
                            </w:pP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人材育成・教育訓練費、経営コンサルティング費用も助成対象</w:t>
                            </w:r>
                          </w:p>
                          <w:p w:rsidR="00167EB1" w:rsidRPr="00313CA3" w:rsidRDefault="00167EB1" w:rsidP="00B9167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賃金を引き上げる計画を作成・申請し、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月末日までに、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905</w:t>
                            </w:r>
                            <w:r w:rsidR="00100378">
                              <w:rPr>
                                <w:rFonts w:hint="eastAsia"/>
                                <w:sz w:val="22"/>
                              </w:rPr>
                              <w:t>円以上の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事業場内最低賃金を基礎として引上げを行えば対象（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日以降は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930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円を基礎とする）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6"/>
                              <w:gridCol w:w="2466"/>
                              <w:gridCol w:w="1559"/>
                              <w:gridCol w:w="2937"/>
                            </w:tblGrid>
                            <w:tr w:rsidR="00167EB1" w:rsidTr="009338B2">
                              <w:tc>
                                <w:tcPr>
                                  <w:tcW w:w="1786" w:type="dxa"/>
                                  <w:vAlign w:val="center"/>
                                </w:tcPr>
                                <w:p w:rsidR="00167EB1" w:rsidRPr="009338B2" w:rsidRDefault="00167EB1" w:rsidP="009338B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338B2">
                                    <w:rPr>
                                      <w:rFonts w:hint="eastAsia"/>
                                      <w:szCs w:val="21"/>
                                    </w:rPr>
                                    <w:t>事業場内最低賃金の引上げ額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vAlign w:val="center"/>
                                </w:tcPr>
                                <w:p w:rsidR="00167EB1" w:rsidRPr="009338B2" w:rsidRDefault="00167EB1" w:rsidP="009338B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助成率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167EB1" w:rsidRPr="009338B2" w:rsidRDefault="00167EB1" w:rsidP="009338B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助成の上限額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vAlign w:val="center"/>
                                </w:tcPr>
                                <w:p w:rsidR="00167EB1" w:rsidRPr="009338B2" w:rsidRDefault="00167EB1" w:rsidP="009338B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助成対象事業場</w:t>
                                  </w:r>
                                </w:p>
                              </w:tc>
                            </w:tr>
                            <w:tr w:rsidR="00167EB1" w:rsidTr="009338B2">
                              <w:tc>
                                <w:tcPr>
                                  <w:tcW w:w="1786" w:type="dxa"/>
                                  <w:vAlign w:val="center"/>
                                </w:tcPr>
                                <w:p w:rsidR="00167EB1" w:rsidRPr="009338B2" w:rsidRDefault="00167EB1" w:rsidP="009338B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338B2">
                                    <w:rPr>
                                      <w:rFonts w:hint="eastAsia"/>
                                      <w:szCs w:val="21"/>
                                    </w:rPr>
                                    <w:t>60</w:t>
                                  </w:r>
                                  <w:r w:rsidRPr="009338B2">
                                    <w:rPr>
                                      <w:rFonts w:hint="eastAsia"/>
                                      <w:szCs w:val="21"/>
                                    </w:rPr>
                                    <w:t>円以上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vAlign w:val="center"/>
                                </w:tcPr>
                                <w:p w:rsidR="00167EB1" w:rsidRDefault="00167EB1" w:rsidP="009338B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１／２</w:t>
                                  </w:r>
                                </w:p>
                                <w:p w:rsidR="00167EB1" w:rsidRPr="009338B2" w:rsidRDefault="00167EB1" w:rsidP="009338B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（小規模事業場は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3/4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167EB1" w:rsidRPr="009338B2" w:rsidRDefault="00167EB1" w:rsidP="009338B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338B2">
                                    <w:rPr>
                                      <w:rFonts w:hint="eastAsia"/>
                                      <w:szCs w:val="21"/>
                                    </w:rPr>
                                    <w:t>100</w:t>
                                  </w:r>
                                  <w:r w:rsidRPr="009338B2">
                                    <w:rPr>
                                      <w:rFonts w:hint="eastAsia"/>
                                      <w:szCs w:val="21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vAlign w:val="center"/>
                                </w:tcPr>
                                <w:p w:rsidR="00100378" w:rsidRDefault="00167EB1" w:rsidP="009338B2">
                                  <w:pPr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 w:rsidRPr="009338B2">
                                    <w:rPr>
                                      <w:rFonts w:hint="eastAsia"/>
                                      <w:szCs w:val="21"/>
                                    </w:rPr>
                                    <w:t>事業場内最低賃金が</w:t>
                                  </w:r>
                                </w:p>
                                <w:p w:rsidR="00167EB1" w:rsidRPr="009338B2" w:rsidRDefault="00167EB1" w:rsidP="009338B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338B2">
                                    <w:rPr>
                                      <w:rFonts w:hint="eastAsia"/>
                                      <w:szCs w:val="21"/>
                                    </w:rPr>
                                    <w:t>1000</w:t>
                                  </w:r>
                                  <w:r w:rsidRPr="009338B2">
                                    <w:rPr>
                                      <w:rFonts w:hint="eastAsia"/>
                                      <w:szCs w:val="21"/>
                                    </w:rPr>
                                    <w:t>円未満の事業場</w:t>
                                  </w:r>
                                </w:p>
                              </w:tc>
                            </w:tr>
                          </w:tbl>
                          <w:p w:rsidR="00167EB1" w:rsidRPr="00F4171B" w:rsidRDefault="00100378" w:rsidP="00F4171B">
                            <w:pPr>
                              <w:ind w:firstLineChars="200" w:firstLine="458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　問い合わせ先　雇用環境・均等部指導</w:t>
                            </w:r>
                            <w:r w:rsidR="00167EB1" w:rsidRPr="00F4171B">
                              <w:rPr>
                                <w:rFonts w:hint="eastAsia"/>
                                <w:sz w:val="22"/>
                              </w:rPr>
                              <w:t>課</w:t>
                            </w:r>
                            <w:r w:rsidR="00167EB1" w:rsidRPr="00100378">
                              <w:rPr>
                                <w:rFonts w:ascii="ＭＳ 明朝" w:eastAsia="ＭＳ 明朝" w:hAnsiTheme="majorEastAsia" w:hint="eastAsia"/>
                                <w:sz w:val="22"/>
                              </w:rPr>
                              <w:t>（℡：211－</w:t>
                            </w:r>
                            <w:r w:rsidRPr="00100378">
                              <w:rPr>
                                <w:rFonts w:ascii="ＭＳ 明朝" w:eastAsia="ＭＳ 明朝" w:hAnsiTheme="majorEastAsia" w:hint="eastAsia"/>
                                <w:sz w:val="22"/>
                              </w:rPr>
                              <w:t>7380</w:t>
                            </w:r>
                            <w:r w:rsidR="00167EB1" w:rsidRPr="00100378">
                              <w:rPr>
                                <w:rFonts w:ascii="ＭＳ 明朝" w:eastAsia="ＭＳ 明朝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167EB1" w:rsidRDefault="00167EB1" w:rsidP="004357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7EB1" w:rsidRPr="00F4171B" w:rsidRDefault="00167EB1" w:rsidP="004357E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17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Ⅱ　キャリアアップ助成金の拡充</w:t>
                            </w:r>
                            <w:r w:rsidR="00C04CB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等</w:t>
                            </w:r>
                          </w:p>
                          <w:p w:rsidR="00167EB1" w:rsidRPr="00100378" w:rsidRDefault="00167EB1" w:rsidP="001B64DA">
                            <w:pPr>
                              <w:ind w:leftChars="113" w:left="706" w:hangingChars="184" w:hanging="45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○　</w:t>
                            </w:r>
                            <w:r w:rsidRPr="00313CA3">
                              <w:rPr>
                                <w:rFonts w:hint="eastAsia"/>
                                <w:sz w:val="22"/>
                              </w:rPr>
                              <w:t>有期契約労働者等非</w:t>
                            </w:r>
                            <w:r w:rsidR="00C71F1D">
                              <w:rPr>
                                <w:rFonts w:hint="eastAsia"/>
                                <w:sz w:val="22"/>
                              </w:rPr>
                              <w:t>正規労働者の企業内でのキャリアアップなどを促進するため、正社員</w:t>
                            </w:r>
                            <w:r w:rsidR="00C71F1D" w:rsidRPr="00100378">
                              <w:rPr>
                                <w:rFonts w:hint="eastAsia"/>
                                <w:sz w:val="22"/>
                              </w:rPr>
                              <w:t>化</w:t>
                            </w:r>
                            <w:r w:rsidRPr="00100378">
                              <w:rPr>
                                <w:rFonts w:hint="eastAsia"/>
                                <w:sz w:val="22"/>
                              </w:rPr>
                              <w:t>、人材育成、処遇改善の取組を実施した事情主に対して助成</w:t>
                            </w:r>
                          </w:p>
                          <w:p w:rsidR="00167EB1" w:rsidRPr="00100378" w:rsidRDefault="00167EB1" w:rsidP="00313CA3">
                            <w:pPr>
                              <w:ind w:left="912" w:hangingChars="398" w:hanging="912"/>
                              <w:rPr>
                                <w:sz w:val="22"/>
                              </w:rPr>
                            </w:pPr>
                            <w:r w:rsidRPr="00100378">
                              <w:rPr>
                                <w:rFonts w:hint="eastAsia"/>
                                <w:sz w:val="22"/>
                              </w:rPr>
                              <w:t xml:space="preserve">　　・現行：有期契約労働者等の基本給の賃金規定等を</w:t>
                            </w:r>
                            <w:r w:rsidR="00C71F1D" w:rsidRPr="00100378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100378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="00C71F1D" w:rsidRPr="00100378">
                              <w:rPr>
                                <w:rFonts w:hint="eastAsia"/>
                                <w:sz w:val="22"/>
                              </w:rPr>
                              <w:t>％以上増額改定し</w:t>
                            </w:r>
                            <w:r w:rsidRPr="00100378">
                              <w:rPr>
                                <w:rFonts w:hint="eastAsia"/>
                                <w:sz w:val="22"/>
                              </w:rPr>
                              <w:t>昇級した場合、対象労働者数に応じた額を助成</w:t>
                            </w:r>
                          </w:p>
                          <w:p w:rsidR="00C71F1D" w:rsidRPr="00100378" w:rsidRDefault="00167EB1" w:rsidP="004357E1">
                            <w:pPr>
                              <w:rPr>
                                <w:sz w:val="22"/>
                              </w:rPr>
                            </w:pPr>
                            <w:r w:rsidRPr="00100378">
                              <w:rPr>
                                <w:rFonts w:hint="eastAsia"/>
                                <w:sz w:val="22"/>
                              </w:rPr>
                              <w:t xml:space="preserve">　　・拡充：</w:t>
                            </w:r>
                            <w:r w:rsidR="00C71F1D" w:rsidRPr="00100378">
                              <w:rPr>
                                <w:rFonts w:hint="eastAsia"/>
                                <w:sz w:val="22"/>
                              </w:rPr>
                              <w:t>中小企業に対する加算措置の創設</w:t>
                            </w:r>
                          </w:p>
                          <w:p w:rsidR="00167EB1" w:rsidRPr="00100378" w:rsidRDefault="00C71F1D" w:rsidP="00C71F1D">
                            <w:pPr>
                              <w:ind w:firstLineChars="700" w:firstLine="1603"/>
                              <w:rPr>
                                <w:sz w:val="22"/>
                              </w:rPr>
                            </w:pPr>
                            <w:r w:rsidRPr="00100378">
                              <w:rPr>
                                <w:rFonts w:hint="eastAsia"/>
                                <w:sz w:val="22"/>
                              </w:rPr>
                              <w:t>中小企業が基本給の賃金規定等を</w:t>
                            </w:r>
                            <w:r w:rsidR="00167EB1" w:rsidRPr="00100378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Pr="00100378">
                              <w:rPr>
                                <w:rFonts w:hint="eastAsia"/>
                                <w:sz w:val="22"/>
                              </w:rPr>
                              <w:t>％以上の増額改定し、昇級した場合</w:t>
                            </w:r>
                          </w:p>
                          <w:p w:rsidR="00A45F3B" w:rsidRPr="00100378" w:rsidRDefault="00167EB1" w:rsidP="00A45F3B">
                            <w:pPr>
                              <w:ind w:leftChars="100" w:left="902" w:hangingChars="298" w:hanging="683"/>
                              <w:rPr>
                                <w:sz w:val="22"/>
                              </w:rPr>
                            </w:pPr>
                            <w:r w:rsidRPr="00100378">
                              <w:rPr>
                                <w:rFonts w:hint="eastAsia"/>
                                <w:sz w:val="22"/>
                              </w:rPr>
                              <w:t xml:space="preserve">　・支給要件の緩和（</w:t>
                            </w:r>
                            <w:r w:rsidRPr="00100378"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100378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Pr="00100378"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 w:rsidR="00C71F1D" w:rsidRPr="00100378">
                              <w:rPr>
                                <w:rFonts w:hint="eastAsia"/>
                                <w:sz w:val="22"/>
                              </w:rPr>
                              <w:t>日から実施</w:t>
                            </w:r>
                            <w:r w:rsidRPr="00100378">
                              <w:rPr>
                                <w:rFonts w:hint="eastAsia"/>
                                <w:sz w:val="22"/>
                              </w:rPr>
                              <w:t>）：</w:t>
                            </w:r>
                          </w:p>
                          <w:p w:rsidR="00A45F3B" w:rsidRPr="00100378" w:rsidRDefault="00A45F3B" w:rsidP="00A45F3B">
                            <w:pPr>
                              <w:ind w:leftChars="350" w:left="887" w:hangingChars="48" w:hanging="1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0037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＊キャリアアップ計画書の提出期限の緩和（人材育成コースは除く）</w:t>
                            </w:r>
                          </w:p>
                          <w:p w:rsidR="00A45F3B" w:rsidRPr="00100378" w:rsidRDefault="00A45F3B" w:rsidP="00A45F3B">
                            <w:pPr>
                              <w:ind w:firstLineChars="300" w:firstLine="747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0037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＊賃金規定等の運用期間の緩和</w:t>
                            </w:r>
                          </w:p>
                          <w:p w:rsidR="00A45F3B" w:rsidRPr="00100378" w:rsidRDefault="00A45F3B" w:rsidP="00A45F3B">
                            <w:pPr>
                              <w:ind w:firstLineChars="300" w:firstLine="747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0037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＊最低賃金との関係に係る要件緩和</w:t>
                            </w:r>
                          </w:p>
                          <w:p w:rsidR="00167EB1" w:rsidRPr="002C43B5" w:rsidRDefault="00167EB1" w:rsidP="002C43B5">
                            <w:pPr>
                              <w:ind w:leftChars="100" w:left="961" w:hangingChars="298" w:hanging="74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C43B5">
                              <w:rPr>
                                <w:rFonts w:hint="eastAsia"/>
                                <w:sz w:val="22"/>
                              </w:rPr>
                              <w:t>※　問い合わせ先　職業安定部職業対策課</w:t>
                            </w:r>
                            <w:r w:rsidRPr="002C43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100378">
                              <w:rPr>
                                <w:rFonts w:asciiTheme="minorEastAsia" w:hAnsiTheme="majorEastAsia" w:hint="eastAsia"/>
                                <w:sz w:val="22"/>
                              </w:rPr>
                              <w:t>℡：650－2801</w:t>
                            </w:r>
                            <w:r w:rsidRPr="002C43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167EB1" w:rsidRDefault="00167EB1" w:rsidP="002C43B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67EB1" w:rsidRPr="00F4171B" w:rsidRDefault="00167EB1" w:rsidP="002C43B5">
                            <w:pPr>
                              <w:ind w:firstLineChars="100" w:firstLine="22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（注）</w:t>
                            </w:r>
                            <w:r w:rsidR="00C04CB2">
                              <w:rPr>
                                <w:rFonts w:hint="eastAsia"/>
                                <w:sz w:val="22"/>
                              </w:rPr>
                              <w:t>いずれの支援策も、補正予算の成立後に実施</w:t>
                            </w:r>
                            <w:r w:rsidRPr="00F4171B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-1.1pt;margin-top:11.45pt;width:479.25pt;height:5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" filled="f" strokecolor="black [3213]" strokeweight="1.5pt">
                <v:textbox>
                  <w:txbxContent>
                    <w:p w:rsidR="00167EB1" w:rsidRPr="00296D34" w:rsidRDefault="00167EB1" w:rsidP="00296D3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7EB1" w:rsidRPr="00F4171B" w:rsidRDefault="00167EB1" w:rsidP="004357E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4171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Ⅰ　業務改善助成金（神奈川県には初の適用）</w:t>
                      </w:r>
                    </w:p>
                    <w:p w:rsidR="00167EB1" w:rsidRPr="00313CA3" w:rsidRDefault="00167EB1" w:rsidP="004357E1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 w:rsidRPr="00313CA3">
                        <w:rPr>
                          <w:rFonts w:hint="eastAsia"/>
                          <w:sz w:val="22"/>
                        </w:rPr>
                        <w:t>生産性向上のための設備投資（機械設備、ＰＯＳシステム等の導入）などを行い、事業場内最低賃金を一定額以上引き上げた場合、その費用の一部を助成</w:t>
                      </w:r>
                    </w:p>
                    <w:p w:rsidR="00167EB1" w:rsidRPr="00313CA3" w:rsidRDefault="00167EB1" w:rsidP="00F4171B">
                      <w:pPr>
                        <w:pStyle w:val="aa"/>
                        <w:ind w:leftChars="0" w:left="615"/>
                        <w:rPr>
                          <w:sz w:val="22"/>
                        </w:rPr>
                      </w:pPr>
                      <w:r w:rsidRPr="00313CA3">
                        <w:rPr>
                          <w:rFonts w:hint="eastAsia"/>
                          <w:sz w:val="22"/>
                        </w:rPr>
                        <w:t>人材育成・教育訓練費、経営コンサルティング費用も助成対象</w:t>
                      </w:r>
                    </w:p>
                    <w:p w:rsidR="00167EB1" w:rsidRPr="00313CA3" w:rsidRDefault="00167EB1" w:rsidP="00B91677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賃金を引き上げる計画を作成・申請し、</w:t>
                      </w:r>
                      <w:r>
                        <w:rPr>
                          <w:rFonts w:hint="eastAsia"/>
                          <w:sz w:val="22"/>
                        </w:rPr>
                        <w:t>9</w:t>
                      </w:r>
                      <w:r>
                        <w:rPr>
                          <w:rFonts w:hint="eastAsia"/>
                          <w:sz w:val="22"/>
                        </w:rPr>
                        <w:t>月末日までに、</w:t>
                      </w:r>
                      <w:r>
                        <w:rPr>
                          <w:rFonts w:hint="eastAsia"/>
                          <w:sz w:val="22"/>
                        </w:rPr>
                        <w:t>905</w:t>
                      </w:r>
                      <w:r w:rsidR="00100378">
                        <w:rPr>
                          <w:rFonts w:hint="eastAsia"/>
                          <w:sz w:val="22"/>
                        </w:rPr>
                        <w:t>円以上の</w:t>
                      </w:r>
                      <w:r>
                        <w:rPr>
                          <w:rFonts w:hint="eastAsia"/>
                          <w:sz w:val="22"/>
                        </w:rPr>
                        <w:t>事業場内最低賃金を基礎として引上げを行えば対象（</w:t>
                      </w:r>
                      <w:r>
                        <w:rPr>
                          <w:rFonts w:hint="eastAsia"/>
                          <w:sz w:val="22"/>
                        </w:rPr>
                        <w:t>10</w:t>
                      </w:r>
                      <w:r>
                        <w:rPr>
                          <w:rFonts w:hint="eastAsia"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</w:rPr>
                        <w:t>日以降は</w:t>
                      </w:r>
                      <w:r>
                        <w:rPr>
                          <w:rFonts w:hint="eastAsia"/>
                          <w:sz w:val="22"/>
                        </w:rPr>
                        <w:t>930</w:t>
                      </w:r>
                      <w:r>
                        <w:rPr>
                          <w:rFonts w:hint="eastAsia"/>
                          <w:sz w:val="22"/>
                        </w:rPr>
                        <w:t>円を基礎とする）</w:t>
                      </w:r>
                    </w:p>
                    <w:tbl>
                      <w:tblPr>
                        <w:tblStyle w:val="a7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786"/>
                        <w:gridCol w:w="2466"/>
                        <w:gridCol w:w="1559"/>
                        <w:gridCol w:w="2937"/>
                      </w:tblGrid>
                      <w:tr w:rsidR="00167EB1" w:rsidTr="009338B2">
                        <w:tc>
                          <w:tcPr>
                            <w:tcW w:w="1786" w:type="dxa"/>
                            <w:vAlign w:val="center"/>
                          </w:tcPr>
                          <w:p w:rsidR="00167EB1" w:rsidRPr="009338B2" w:rsidRDefault="00167EB1" w:rsidP="009338B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338B2">
                              <w:rPr>
                                <w:rFonts w:hint="eastAsia"/>
                                <w:szCs w:val="21"/>
                              </w:rPr>
                              <w:t>事業場内最低賃金の引上げ額</w:t>
                            </w:r>
                          </w:p>
                        </w:tc>
                        <w:tc>
                          <w:tcPr>
                            <w:tcW w:w="2466" w:type="dxa"/>
                            <w:vAlign w:val="center"/>
                          </w:tcPr>
                          <w:p w:rsidR="00167EB1" w:rsidRPr="009338B2" w:rsidRDefault="00167EB1" w:rsidP="009338B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助成率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167EB1" w:rsidRPr="009338B2" w:rsidRDefault="00167EB1" w:rsidP="009338B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助成の上限額</w:t>
                            </w:r>
                          </w:p>
                        </w:tc>
                        <w:tc>
                          <w:tcPr>
                            <w:tcW w:w="2937" w:type="dxa"/>
                            <w:vAlign w:val="center"/>
                          </w:tcPr>
                          <w:p w:rsidR="00167EB1" w:rsidRPr="009338B2" w:rsidRDefault="00167EB1" w:rsidP="009338B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助成対象事業場</w:t>
                            </w:r>
                          </w:p>
                        </w:tc>
                      </w:tr>
                      <w:tr w:rsidR="00167EB1" w:rsidTr="009338B2">
                        <w:tc>
                          <w:tcPr>
                            <w:tcW w:w="1786" w:type="dxa"/>
                            <w:vAlign w:val="center"/>
                          </w:tcPr>
                          <w:p w:rsidR="00167EB1" w:rsidRPr="009338B2" w:rsidRDefault="00167EB1" w:rsidP="009338B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338B2">
                              <w:rPr>
                                <w:rFonts w:hint="eastAsia"/>
                                <w:szCs w:val="21"/>
                              </w:rPr>
                              <w:t>60</w:t>
                            </w:r>
                            <w:r w:rsidRPr="009338B2">
                              <w:rPr>
                                <w:rFonts w:hint="eastAsia"/>
                                <w:szCs w:val="21"/>
                              </w:rPr>
                              <w:t>円以上</w:t>
                            </w:r>
                          </w:p>
                        </w:tc>
                        <w:tc>
                          <w:tcPr>
                            <w:tcW w:w="2466" w:type="dxa"/>
                            <w:vAlign w:val="center"/>
                          </w:tcPr>
                          <w:p w:rsidR="00167EB1" w:rsidRDefault="00167EB1" w:rsidP="009338B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１／２</w:t>
                            </w:r>
                          </w:p>
                          <w:p w:rsidR="00167EB1" w:rsidRPr="009338B2" w:rsidRDefault="00167EB1" w:rsidP="009338B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（小規模事業場は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3/4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167EB1" w:rsidRPr="009338B2" w:rsidRDefault="00167EB1" w:rsidP="009338B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338B2">
                              <w:rPr>
                                <w:rFonts w:hint="eastAsia"/>
                                <w:szCs w:val="21"/>
                              </w:rPr>
                              <w:t>100</w:t>
                            </w:r>
                            <w:r w:rsidRPr="009338B2">
                              <w:rPr>
                                <w:rFonts w:hint="eastAsia"/>
                                <w:szCs w:val="21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2937" w:type="dxa"/>
                            <w:vAlign w:val="center"/>
                          </w:tcPr>
                          <w:p w:rsidR="00100378" w:rsidRDefault="00167EB1" w:rsidP="009338B2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9338B2">
                              <w:rPr>
                                <w:rFonts w:hint="eastAsia"/>
                                <w:szCs w:val="21"/>
                              </w:rPr>
                              <w:t>事業場内最低賃金が</w:t>
                            </w:r>
                          </w:p>
                          <w:p w:rsidR="00167EB1" w:rsidRPr="009338B2" w:rsidRDefault="00167EB1" w:rsidP="009338B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338B2">
                              <w:rPr>
                                <w:rFonts w:hint="eastAsia"/>
                                <w:szCs w:val="21"/>
                              </w:rPr>
                              <w:t>1000</w:t>
                            </w:r>
                            <w:r w:rsidRPr="009338B2">
                              <w:rPr>
                                <w:rFonts w:hint="eastAsia"/>
                                <w:szCs w:val="21"/>
                              </w:rPr>
                              <w:t>円未満の事業場</w:t>
                            </w:r>
                          </w:p>
                        </w:tc>
                      </w:tr>
                    </w:tbl>
                    <w:p w:rsidR="00167EB1" w:rsidRPr="00F4171B" w:rsidRDefault="00100378" w:rsidP="00F4171B">
                      <w:pPr>
                        <w:ind w:firstLineChars="200" w:firstLine="458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　問い合わせ先　雇用環境・均等部指導</w:t>
                      </w:r>
                      <w:r w:rsidR="00167EB1" w:rsidRPr="00F4171B">
                        <w:rPr>
                          <w:rFonts w:hint="eastAsia"/>
                          <w:sz w:val="22"/>
                        </w:rPr>
                        <w:t>課</w:t>
                      </w:r>
                      <w:r w:rsidR="00167EB1" w:rsidRPr="00100378">
                        <w:rPr>
                          <w:rFonts w:ascii="ＭＳ 明朝" w:eastAsia="ＭＳ 明朝" w:hAnsiTheme="majorEastAsia" w:hint="eastAsia"/>
                          <w:sz w:val="22"/>
                        </w:rPr>
                        <w:t>（℡：211－</w:t>
                      </w:r>
                      <w:r w:rsidRPr="00100378">
                        <w:rPr>
                          <w:rFonts w:ascii="ＭＳ 明朝" w:eastAsia="ＭＳ 明朝" w:hAnsiTheme="majorEastAsia" w:hint="eastAsia"/>
                          <w:sz w:val="22"/>
                        </w:rPr>
                        <w:t>7380</w:t>
                      </w:r>
                      <w:r w:rsidR="00167EB1" w:rsidRPr="00100378">
                        <w:rPr>
                          <w:rFonts w:ascii="ＭＳ 明朝" w:eastAsia="ＭＳ 明朝" w:hAnsiTheme="majorEastAsia" w:hint="eastAsia"/>
                          <w:sz w:val="22"/>
                        </w:rPr>
                        <w:t>）</w:t>
                      </w:r>
                    </w:p>
                    <w:p w:rsidR="00167EB1" w:rsidRDefault="00167EB1" w:rsidP="004357E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7EB1" w:rsidRPr="00F4171B" w:rsidRDefault="00167EB1" w:rsidP="004357E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4171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Ⅱ　キャリアアップ助成金の拡充</w:t>
                      </w:r>
                      <w:r w:rsidR="00C04CB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等</w:t>
                      </w:r>
                    </w:p>
                    <w:p w:rsidR="00167EB1" w:rsidRPr="00100378" w:rsidRDefault="00167EB1" w:rsidP="001B64DA">
                      <w:pPr>
                        <w:ind w:leftChars="113" w:left="706" w:hangingChars="184" w:hanging="458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○　</w:t>
                      </w:r>
                      <w:r w:rsidRPr="00313CA3">
                        <w:rPr>
                          <w:rFonts w:hint="eastAsia"/>
                          <w:sz w:val="22"/>
                        </w:rPr>
                        <w:t>有期契約労働者等非</w:t>
                      </w:r>
                      <w:r w:rsidR="00C71F1D">
                        <w:rPr>
                          <w:rFonts w:hint="eastAsia"/>
                          <w:sz w:val="22"/>
                        </w:rPr>
                        <w:t>正規労働者の企業内でのキャリアアップなどを促進するため、正社員</w:t>
                      </w:r>
                      <w:r w:rsidR="00C71F1D" w:rsidRPr="00100378">
                        <w:rPr>
                          <w:rFonts w:hint="eastAsia"/>
                          <w:sz w:val="22"/>
                        </w:rPr>
                        <w:t>化</w:t>
                      </w:r>
                      <w:r w:rsidRPr="00100378">
                        <w:rPr>
                          <w:rFonts w:hint="eastAsia"/>
                          <w:sz w:val="22"/>
                        </w:rPr>
                        <w:t>、人材育成、処遇改善の取組を実施した事情主に対して助成</w:t>
                      </w:r>
                    </w:p>
                    <w:p w:rsidR="00167EB1" w:rsidRPr="00100378" w:rsidRDefault="00167EB1" w:rsidP="00313CA3">
                      <w:pPr>
                        <w:ind w:left="912" w:hangingChars="398" w:hanging="912"/>
                        <w:rPr>
                          <w:sz w:val="22"/>
                        </w:rPr>
                      </w:pPr>
                      <w:r w:rsidRPr="00100378">
                        <w:rPr>
                          <w:rFonts w:hint="eastAsia"/>
                          <w:sz w:val="22"/>
                        </w:rPr>
                        <w:t xml:space="preserve">　　・現行：有期契約労働者等の基本給の賃金規定等を</w:t>
                      </w:r>
                      <w:r w:rsidR="00C71F1D" w:rsidRPr="00100378">
                        <w:rPr>
                          <w:rFonts w:hint="eastAsia"/>
                          <w:sz w:val="22"/>
                        </w:rPr>
                        <w:t>、</w:t>
                      </w:r>
                      <w:r w:rsidRPr="00100378">
                        <w:rPr>
                          <w:rFonts w:hint="eastAsia"/>
                          <w:sz w:val="22"/>
                        </w:rPr>
                        <w:t>2</w:t>
                      </w:r>
                      <w:r w:rsidR="00C71F1D" w:rsidRPr="00100378">
                        <w:rPr>
                          <w:rFonts w:hint="eastAsia"/>
                          <w:sz w:val="22"/>
                        </w:rPr>
                        <w:t>％以上増額改定し</w:t>
                      </w:r>
                      <w:r w:rsidRPr="00100378">
                        <w:rPr>
                          <w:rFonts w:hint="eastAsia"/>
                          <w:sz w:val="22"/>
                        </w:rPr>
                        <w:t>昇級した場合、対象労働者数に応じた額を助成</w:t>
                      </w:r>
                    </w:p>
                    <w:p w:rsidR="00C71F1D" w:rsidRPr="00100378" w:rsidRDefault="00167EB1" w:rsidP="004357E1">
                      <w:pPr>
                        <w:rPr>
                          <w:sz w:val="22"/>
                        </w:rPr>
                      </w:pPr>
                      <w:r w:rsidRPr="00100378">
                        <w:rPr>
                          <w:rFonts w:hint="eastAsia"/>
                          <w:sz w:val="22"/>
                        </w:rPr>
                        <w:t xml:space="preserve">　　・拡充：</w:t>
                      </w:r>
                      <w:r w:rsidR="00C71F1D" w:rsidRPr="00100378">
                        <w:rPr>
                          <w:rFonts w:hint="eastAsia"/>
                          <w:sz w:val="22"/>
                        </w:rPr>
                        <w:t>中小企業に対する加算措置の創設</w:t>
                      </w:r>
                    </w:p>
                    <w:p w:rsidR="00167EB1" w:rsidRPr="00100378" w:rsidRDefault="00C71F1D" w:rsidP="00C71F1D">
                      <w:pPr>
                        <w:ind w:firstLineChars="700" w:firstLine="1603"/>
                        <w:rPr>
                          <w:sz w:val="22"/>
                        </w:rPr>
                      </w:pPr>
                      <w:r w:rsidRPr="00100378">
                        <w:rPr>
                          <w:rFonts w:hint="eastAsia"/>
                          <w:sz w:val="22"/>
                        </w:rPr>
                        <w:t>中小企業が基本給の賃金規定等を</w:t>
                      </w:r>
                      <w:r w:rsidR="00167EB1" w:rsidRPr="00100378">
                        <w:rPr>
                          <w:rFonts w:hint="eastAsia"/>
                          <w:sz w:val="22"/>
                        </w:rPr>
                        <w:t>3</w:t>
                      </w:r>
                      <w:r w:rsidRPr="00100378">
                        <w:rPr>
                          <w:rFonts w:hint="eastAsia"/>
                          <w:sz w:val="22"/>
                        </w:rPr>
                        <w:t>％以上の増額改定し、昇級した場合</w:t>
                      </w:r>
                    </w:p>
                    <w:p w:rsidR="00A45F3B" w:rsidRPr="00100378" w:rsidRDefault="00167EB1" w:rsidP="00A45F3B">
                      <w:pPr>
                        <w:ind w:leftChars="100" w:left="902" w:hangingChars="298" w:hanging="683"/>
                        <w:rPr>
                          <w:sz w:val="22"/>
                        </w:rPr>
                      </w:pPr>
                      <w:r w:rsidRPr="00100378">
                        <w:rPr>
                          <w:rFonts w:hint="eastAsia"/>
                          <w:sz w:val="22"/>
                        </w:rPr>
                        <w:t xml:space="preserve">　・支給要件の緩和（</w:t>
                      </w:r>
                      <w:r w:rsidRPr="00100378">
                        <w:rPr>
                          <w:rFonts w:hint="eastAsia"/>
                          <w:sz w:val="22"/>
                        </w:rPr>
                        <w:t>8</w:t>
                      </w:r>
                      <w:bookmarkStart w:id="1" w:name="_GoBack"/>
                      <w:bookmarkEnd w:id="1"/>
                      <w:r w:rsidRPr="00100378">
                        <w:rPr>
                          <w:rFonts w:hint="eastAsia"/>
                          <w:sz w:val="22"/>
                        </w:rPr>
                        <w:t>月</w:t>
                      </w:r>
                      <w:r w:rsidRPr="00100378">
                        <w:rPr>
                          <w:rFonts w:hint="eastAsia"/>
                          <w:sz w:val="22"/>
                        </w:rPr>
                        <w:t>5</w:t>
                      </w:r>
                      <w:r w:rsidR="00C71F1D" w:rsidRPr="00100378">
                        <w:rPr>
                          <w:rFonts w:hint="eastAsia"/>
                          <w:sz w:val="22"/>
                        </w:rPr>
                        <w:t>日から実施</w:t>
                      </w:r>
                      <w:r w:rsidRPr="00100378">
                        <w:rPr>
                          <w:rFonts w:hint="eastAsia"/>
                          <w:sz w:val="22"/>
                        </w:rPr>
                        <w:t>）：</w:t>
                      </w:r>
                    </w:p>
                    <w:p w:rsidR="00A45F3B" w:rsidRPr="00100378" w:rsidRDefault="00A45F3B" w:rsidP="00A45F3B">
                      <w:pPr>
                        <w:ind w:leftChars="350" w:left="887" w:hangingChars="48" w:hanging="1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0037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＊キャリアアップ計画書の提出期限の緩和（人材育成コースは除く）</w:t>
                      </w:r>
                    </w:p>
                    <w:p w:rsidR="00A45F3B" w:rsidRPr="00100378" w:rsidRDefault="00A45F3B" w:rsidP="00A45F3B">
                      <w:pPr>
                        <w:ind w:firstLineChars="300" w:firstLine="747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0037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＊賃金規定等の運用期間の緩和</w:t>
                      </w:r>
                    </w:p>
                    <w:p w:rsidR="00A45F3B" w:rsidRPr="00100378" w:rsidRDefault="00A45F3B" w:rsidP="00A45F3B">
                      <w:pPr>
                        <w:ind w:firstLineChars="300" w:firstLine="747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0037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＊最低賃金との関係に係る要件緩和</w:t>
                      </w:r>
                    </w:p>
                    <w:p w:rsidR="00167EB1" w:rsidRPr="002C43B5" w:rsidRDefault="00167EB1" w:rsidP="002C43B5">
                      <w:pPr>
                        <w:ind w:leftChars="100" w:left="961" w:hangingChars="298" w:hanging="74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C43B5">
                        <w:rPr>
                          <w:rFonts w:hint="eastAsia"/>
                          <w:sz w:val="22"/>
                        </w:rPr>
                        <w:t>※　問い合わせ先　職業安定部職業対策課</w:t>
                      </w:r>
                      <w:r w:rsidRPr="002C43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100378">
                        <w:rPr>
                          <w:rFonts w:asciiTheme="minorEastAsia" w:hAnsiTheme="majorEastAsia" w:hint="eastAsia"/>
                          <w:sz w:val="22"/>
                        </w:rPr>
                        <w:t>℡：650－2801</w:t>
                      </w:r>
                      <w:r w:rsidRPr="002C43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:rsidR="00167EB1" w:rsidRDefault="00167EB1" w:rsidP="002C43B5">
                      <w:pPr>
                        <w:rPr>
                          <w:sz w:val="22"/>
                        </w:rPr>
                      </w:pPr>
                    </w:p>
                    <w:p w:rsidR="00167EB1" w:rsidRPr="00F4171B" w:rsidRDefault="00167EB1" w:rsidP="002C43B5">
                      <w:pPr>
                        <w:ind w:firstLineChars="100" w:firstLine="22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（注）</w:t>
                      </w:r>
                      <w:r w:rsidR="00C04CB2">
                        <w:rPr>
                          <w:rFonts w:hint="eastAsia"/>
                          <w:sz w:val="22"/>
                        </w:rPr>
                        <w:t>いずれの支援策も、補正予算の成立後に実施</w:t>
                      </w:r>
                      <w:r w:rsidRPr="00F4171B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C5122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06A13" wp14:editId="215223F6">
                <wp:simplePos x="0" y="0"/>
                <wp:positionH relativeFrom="column">
                  <wp:posOffset>-196215</wp:posOffset>
                </wp:positionH>
                <wp:positionV relativeFrom="paragraph">
                  <wp:posOffset>5506</wp:posOffset>
                </wp:positionV>
                <wp:extent cx="4981575" cy="3524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52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EB1" w:rsidRPr="00104A25" w:rsidRDefault="00167EB1" w:rsidP="004357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中小企業・小規模事業場に対する支援策の概要（詳細は別添参照）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margin-left:-15.45pt;margin-top:.45pt;width:392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" fillcolor="#8aabd3 [2132]" strokecolor="black [1600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167EB1" w:rsidRPr="00104A25" w:rsidRDefault="00167EB1" w:rsidP="004357E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中小企業・小規模事業場に対する支援策の概要（詳細は別添参照）</w:t>
                      </w:r>
                    </w:p>
                  </w:txbxContent>
                </v:textbox>
              </v:rect>
            </w:pict>
          </mc:Fallback>
        </mc:AlternateContent>
      </w:r>
    </w:p>
    <w:p w:rsidR="00851376" w:rsidRPr="000567E9" w:rsidRDefault="00851376">
      <w:pPr>
        <w:rPr>
          <w:b/>
          <w:sz w:val="40"/>
          <w:szCs w:val="40"/>
        </w:rPr>
      </w:pPr>
    </w:p>
    <w:sectPr w:rsidR="00851376" w:rsidRPr="000567E9" w:rsidSect="00A45F3B">
      <w:pgSz w:w="11907" w:h="16840" w:code="9"/>
      <w:pgMar w:top="1134" w:right="1134" w:bottom="567" w:left="1134" w:header="851" w:footer="680" w:gutter="0"/>
      <w:cols w:space="425"/>
      <w:docGrid w:type="linesAndChars" w:linePitch="371" w:charSpace="1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E1" w:rsidRDefault="003633E1" w:rsidP="00D121FB">
      <w:r>
        <w:separator/>
      </w:r>
    </w:p>
  </w:endnote>
  <w:endnote w:type="continuationSeparator" w:id="0">
    <w:p w:rsidR="003633E1" w:rsidRDefault="003633E1" w:rsidP="00D1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E1" w:rsidRDefault="003633E1" w:rsidP="00D121FB">
      <w:r>
        <w:separator/>
      </w:r>
    </w:p>
  </w:footnote>
  <w:footnote w:type="continuationSeparator" w:id="0">
    <w:p w:rsidR="003633E1" w:rsidRDefault="003633E1" w:rsidP="00D1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487D"/>
    <w:multiLevelType w:val="hybridMultilevel"/>
    <w:tmpl w:val="225C76AA"/>
    <w:lvl w:ilvl="0" w:tplc="4298125E">
      <w:numFmt w:val="bullet"/>
      <w:lvlText w:val="○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666C1C89"/>
    <w:multiLevelType w:val="hybridMultilevel"/>
    <w:tmpl w:val="89B8D222"/>
    <w:lvl w:ilvl="0" w:tplc="8CFADC78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40"/>
  <w:drawingGridHorizontalSpacing w:val="219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EC"/>
    <w:rsid w:val="000567E9"/>
    <w:rsid w:val="000C4E63"/>
    <w:rsid w:val="00100378"/>
    <w:rsid w:val="00104A25"/>
    <w:rsid w:val="00167EB1"/>
    <w:rsid w:val="001B64DA"/>
    <w:rsid w:val="00236ACD"/>
    <w:rsid w:val="002400F6"/>
    <w:rsid w:val="00296D34"/>
    <w:rsid w:val="002C43B5"/>
    <w:rsid w:val="00313CA3"/>
    <w:rsid w:val="003633E1"/>
    <w:rsid w:val="003C5122"/>
    <w:rsid w:val="00426A10"/>
    <w:rsid w:val="004276D8"/>
    <w:rsid w:val="004357E1"/>
    <w:rsid w:val="00523E77"/>
    <w:rsid w:val="00530AE0"/>
    <w:rsid w:val="005467F7"/>
    <w:rsid w:val="0063056E"/>
    <w:rsid w:val="00652C72"/>
    <w:rsid w:val="006E006B"/>
    <w:rsid w:val="00702266"/>
    <w:rsid w:val="00774942"/>
    <w:rsid w:val="007E6CAA"/>
    <w:rsid w:val="00851376"/>
    <w:rsid w:val="009338B2"/>
    <w:rsid w:val="00950230"/>
    <w:rsid w:val="0099002F"/>
    <w:rsid w:val="00A45F3B"/>
    <w:rsid w:val="00AB1803"/>
    <w:rsid w:val="00B00116"/>
    <w:rsid w:val="00B0764D"/>
    <w:rsid w:val="00B84C0E"/>
    <w:rsid w:val="00B91677"/>
    <w:rsid w:val="00C04CB2"/>
    <w:rsid w:val="00C71F1D"/>
    <w:rsid w:val="00CB0803"/>
    <w:rsid w:val="00D121FB"/>
    <w:rsid w:val="00D46221"/>
    <w:rsid w:val="00D8682C"/>
    <w:rsid w:val="00E00F68"/>
    <w:rsid w:val="00E11BEC"/>
    <w:rsid w:val="00E34746"/>
    <w:rsid w:val="00F4171B"/>
    <w:rsid w:val="00F45D2B"/>
    <w:rsid w:val="00F8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1FB"/>
  </w:style>
  <w:style w:type="paragraph" w:styleId="a5">
    <w:name w:val="footer"/>
    <w:basedOn w:val="a"/>
    <w:link w:val="a6"/>
    <w:uiPriority w:val="99"/>
    <w:unhideWhenUsed/>
    <w:rsid w:val="00D12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1FB"/>
  </w:style>
  <w:style w:type="table" w:styleId="a7">
    <w:name w:val="Table Grid"/>
    <w:basedOn w:val="a1"/>
    <w:uiPriority w:val="59"/>
    <w:rsid w:val="0065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357E1"/>
  </w:style>
  <w:style w:type="character" w:customStyle="1" w:styleId="a9">
    <w:name w:val="日付 (文字)"/>
    <w:basedOn w:val="a0"/>
    <w:link w:val="a8"/>
    <w:uiPriority w:val="99"/>
    <w:semiHidden/>
    <w:rsid w:val="004357E1"/>
  </w:style>
  <w:style w:type="paragraph" w:styleId="aa">
    <w:name w:val="List Paragraph"/>
    <w:basedOn w:val="a"/>
    <w:uiPriority w:val="34"/>
    <w:qFormat/>
    <w:rsid w:val="009338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1FB"/>
  </w:style>
  <w:style w:type="paragraph" w:styleId="a5">
    <w:name w:val="footer"/>
    <w:basedOn w:val="a"/>
    <w:link w:val="a6"/>
    <w:uiPriority w:val="99"/>
    <w:unhideWhenUsed/>
    <w:rsid w:val="00D12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1FB"/>
  </w:style>
  <w:style w:type="table" w:styleId="a7">
    <w:name w:val="Table Grid"/>
    <w:basedOn w:val="a1"/>
    <w:uiPriority w:val="59"/>
    <w:rsid w:val="0065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357E1"/>
  </w:style>
  <w:style w:type="character" w:customStyle="1" w:styleId="a9">
    <w:name w:val="日付 (文字)"/>
    <w:basedOn w:val="a0"/>
    <w:link w:val="a8"/>
    <w:uiPriority w:val="99"/>
    <w:semiHidden/>
    <w:rsid w:val="004357E1"/>
  </w:style>
  <w:style w:type="paragraph" w:styleId="aa">
    <w:name w:val="List Paragraph"/>
    <w:basedOn w:val="a"/>
    <w:uiPriority w:val="34"/>
    <w:qFormat/>
    <w:rsid w:val="009338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2B1A-B408-465D-9836-0351622B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58593248.dotm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長久保　茂</dc:creator>
  <cp:lastModifiedBy>中川　伸人</cp:lastModifiedBy>
  <cp:revision>3</cp:revision>
  <cp:lastPrinted>2016-08-29T03:03:00Z</cp:lastPrinted>
  <dcterms:created xsi:type="dcterms:W3CDTF">2016-08-29T02:43:00Z</dcterms:created>
  <dcterms:modified xsi:type="dcterms:W3CDTF">2016-08-29T03:06:00Z</dcterms:modified>
</cp:coreProperties>
</file>